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02/04/11-19/00097558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ноября 2019 г.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декабря 2019 г.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 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России), Министерство Российской Федерации по делам гражданской обороны, чрезвычайным ситуациям и ликвида-ции 
последствий стихийных бедствий (МЧС России), Министерство 
промышленности и торговли Российской Федерации 
(Минпромторг России), Федеральная служба по экологическому, 
технологическому и атомному надзору (Ростехнадзор)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Градостроительный 
кодекс Российской Федерации и некоторые законодательные акты Россий-ской Федерации»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правового регулирования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3 Плана мероприятий («Дорожной карты») по реализации механизма 
«регуляторной гильотины», утвержденного Председателем Правительства 
Российской Федерации Д.А. Медведевым от 29 мая 2019 г. № 4714п-П36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 учетом проведенного анализа, а также принципов приоритета законода-тельного уровня регулирования и борьбы с внешними рисками, определен-ного 
«Регуляторной гильотины», предлагается внести изменения в структуру 
нормативного регулирования (без изменения обязательных требований).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Сохранение текущей системы нормативного регулирования с переносом 
обязательных требований с подзаконного на законодаткельный уровень 
без изменения объема обязательных требований.
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Бармина Татьяна Николаевна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директора Правового департамента  Министерства строительства и жилищно-коммунального хозяйства Российской Федерации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 (доб. 61038)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Tatyana.Barmina@minstroyrf.ru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Правовой акт вводит новое дополнительное регулирование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правового регулирования на законодательном акте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на подзаконном уровне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разработки проекта акта обусловлена пунктом 3 Плана 
мероприятий («Дорожной карты») по реализации механизма «регулятор-ной гильотины», утвержденного Председателем Правительства 
Российской Федерации Д.А. Медведевым от 29 мая 2019 г. № 4714п-П36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Перенос обязательных требований 
с подзаконного на законодательный уровень
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принятия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пункт 3 Плана мероприятий («Дорожной карты») по реализации механизма «регулятор-ной гильотины», утвержденного Председателем Правительства Российской Федерации Д.А. Медведевым от 29 мая 2019 г. № 4714п-П36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акта.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не представляются возможными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Национальные объединения саморегулируемых организаций в сфере строительства
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0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отсутствуют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отсутствуют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Минстрой России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Перенос обязательных требований с подзаконного на законодательный уровень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 проектом акта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Трудозатраты не изменятся 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Национальные объединения саморегулируемых организаций в сфере
 строительства
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Национальные объединения саморегулируемых организаций в сфере
 строительства.
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проекта нормативного правового акта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проекта федерального закона Российской Федерации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финансирование не потребуется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финансирование не потребуется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эксперимент не проводился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2021г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 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Костарева Т.Ю. 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