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F9" w:rsidRDefault="00A2209E">
      <w:pPr>
        <w:rPr>
          <w:sz w:val="28"/>
          <w:szCs w:val="28"/>
        </w:rPr>
      </w:pPr>
      <w:r w:rsidRPr="00A2209E">
        <w:rPr>
          <w:sz w:val="28"/>
          <w:szCs w:val="28"/>
        </w:rPr>
        <w:t>&lt;Письмо&gt; Минстроя России от 15.06.2021 N 24666-АЛ/03 &lt;</w:t>
      </w:r>
      <w:bookmarkStart w:id="0" w:name="_GoBack"/>
      <w:r w:rsidRPr="00A2209E">
        <w:rPr>
          <w:sz w:val="28"/>
          <w:szCs w:val="28"/>
        </w:rPr>
        <w:t>О направлении разъяснений</w:t>
      </w:r>
      <w:bookmarkEnd w:id="0"/>
      <w:r w:rsidRPr="00A2209E">
        <w:rPr>
          <w:sz w:val="28"/>
          <w:szCs w:val="28"/>
        </w:rPr>
        <w:t>&gt; (вместе с &lt;Письмом&gt; Минстроя России от 11.06.2021 N 24190-ИФ/03)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r w:rsidRPr="00A2209E">
        <w:rPr>
          <w:b/>
          <w:bCs/>
          <w:sz w:val="28"/>
          <w:szCs w:val="28"/>
        </w:rPr>
        <w:t>МИНИСТЕРСТВО СТРОИТЕЛЬСТВА И ЖИЛИЩНО-КОММУНАЛЬНОГО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r w:rsidRPr="00A2209E">
        <w:rPr>
          <w:b/>
          <w:bCs/>
          <w:sz w:val="28"/>
          <w:szCs w:val="28"/>
        </w:rPr>
        <w:t>ХОЗЯЙСТВА РОССИЙСКОЙ ФЕДЕРАЦИИ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bookmarkStart w:id="1" w:name="100002"/>
      <w:bookmarkEnd w:id="1"/>
      <w:r w:rsidRPr="00A2209E">
        <w:rPr>
          <w:b/>
          <w:bCs/>
          <w:sz w:val="28"/>
          <w:szCs w:val="28"/>
        </w:rPr>
        <w:t>ПИСЬМО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r w:rsidRPr="00A2209E">
        <w:rPr>
          <w:b/>
          <w:bCs/>
          <w:sz w:val="28"/>
          <w:szCs w:val="28"/>
        </w:rPr>
        <w:t>от 15 июня 2021 г. N 24666-АЛ/03</w:t>
      </w:r>
    </w:p>
    <w:p w:rsidR="00A2209E" w:rsidRPr="00A2209E" w:rsidRDefault="00A2209E" w:rsidP="00A2209E">
      <w:pPr>
        <w:rPr>
          <w:sz w:val="28"/>
          <w:szCs w:val="28"/>
        </w:rPr>
      </w:pPr>
      <w:bookmarkStart w:id="2" w:name="100003"/>
      <w:bookmarkEnd w:id="2"/>
      <w:r w:rsidRPr="00A2209E">
        <w:rPr>
          <w:sz w:val="28"/>
          <w:szCs w:val="28"/>
        </w:rPr>
        <w:t>Минстрой России направляет </w:t>
      </w:r>
      <w:hyperlink r:id="rId4" w:anchor="cZQoDG22DIZN" w:history="1">
        <w:r w:rsidRPr="00A2209E">
          <w:rPr>
            <w:rStyle w:val="a3"/>
            <w:sz w:val="28"/>
            <w:szCs w:val="28"/>
          </w:rPr>
          <w:t>разъяснения</w:t>
        </w:r>
      </w:hyperlink>
      <w:r w:rsidRPr="00A2209E">
        <w:rPr>
          <w:sz w:val="28"/>
          <w:szCs w:val="28"/>
        </w:rPr>
        <w:t> в части отсутствия оснований для разработки и согласования специальных технических условий при отступлении от требований документов в области стандартизации, включенных в </w:t>
      </w:r>
      <w:hyperlink r:id="rId5" w:anchor="0j6fDNzhCwN2" w:history="1">
        <w:r w:rsidRPr="00A2209E">
          <w:rPr>
            <w:rStyle w:val="a3"/>
            <w:sz w:val="28"/>
            <w:szCs w:val="28"/>
          </w:rPr>
          <w:t>перечень</w:t>
        </w:r>
      </w:hyperlink>
      <w:r w:rsidRPr="00A2209E">
        <w:rPr>
          <w:sz w:val="28"/>
          <w:szCs w:val="28"/>
        </w:rPr>
        <w:t>, утвержденный приказом Федерального агентства по техническому регулированию и метрологии от 02.04.2020 N 687.</w:t>
      </w:r>
    </w:p>
    <w:p w:rsidR="00A2209E" w:rsidRPr="00A2209E" w:rsidRDefault="00A2209E" w:rsidP="00A2209E">
      <w:pPr>
        <w:rPr>
          <w:sz w:val="28"/>
          <w:szCs w:val="28"/>
        </w:rPr>
      </w:pPr>
      <w:bookmarkStart w:id="3" w:name="100004"/>
      <w:bookmarkEnd w:id="3"/>
      <w:r w:rsidRPr="00A2209E">
        <w:rPr>
          <w:sz w:val="28"/>
          <w:szCs w:val="28"/>
        </w:rPr>
        <w:t>А.Н.ЛОМАКИН</w:t>
      </w:r>
    </w:p>
    <w:p w:rsidR="00A2209E" w:rsidRPr="00A2209E" w:rsidRDefault="00A2209E" w:rsidP="00A2209E">
      <w:pPr>
        <w:rPr>
          <w:sz w:val="28"/>
          <w:szCs w:val="28"/>
        </w:rPr>
      </w:pPr>
      <w:r w:rsidRPr="00A2209E">
        <w:rPr>
          <w:sz w:val="28"/>
          <w:szCs w:val="28"/>
        </w:rPr>
        <w:br/>
      </w:r>
      <w:r w:rsidRPr="00A2209E">
        <w:rPr>
          <w:sz w:val="28"/>
          <w:szCs w:val="28"/>
        </w:rPr>
        <w:br/>
      </w:r>
      <w:bookmarkStart w:id="4" w:name="cZQoDG22DIZN"/>
      <w:bookmarkEnd w:id="4"/>
    </w:p>
    <w:p w:rsidR="00A2209E" w:rsidRPr="00A2209E" w:rsidRDefault="00A2209E" w:rsidP="00A2209E">
      <w:pPr>
        <w:rPr>
          <w:sz w:val="28"/>
          <w:szCs w:val="28"/>
        </w:rPr>
      </w:pPr>
      <w:bookmarkStart w:id="5" w:name="100005"/>
      <w:bookmarkEnd w:id="5"/>
      <w:r w:rsidRPr="00A2209E">
        <w:rPr>
          <w:sz w:val="28"/>
          <w:szCs w:val="28"/>
        </w:rPr>
        <w:t>Приложение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bookmarkStart w:id="6" w:name="100006"/>
      <w:bookmarkEnd w:id="6"/>
      <w:r w:rsidRPr="00A2209E">
        <w:rPr>
          <w:b/>
          <w:bCs/>
          <w:sz w:val="28"/>
          <w:szCs w:val="28"/>
        </w:rPr>
        <w:t>МИНИСТЕРСТВО СТРОИТЕЛЬСТВА И ЖИЛИЩНО-КОММУНАЛЬНОГО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r w:rsidRPr="00A2209E">
        <w:rPr>
          <w:b/>
          <w:bCs/>
          <w:sz w:val="28"/>
          <w:szCs w:val="28"/>
        </w:rPr>
        <w:t>ХОЗЯЙСТВА РОССИЙСКОЙ ФЕДЕРАЦИИ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bookmarkStart w:id="7" w:name="100007"/>
      <w:bookmarkEnd w:id="7"/>
      <w:r w:rsidRPr="00A2209E">
        <w:rPr>
          <w:b/>
          <w:bCs/>
          <w:sz w:val="28"/>
          <w:szCs w:val="28"/>
        </w:rPr>
        <w:t>ПИСЬМО</w:t>
      </w:r>
    </w:p>
    <w:p w:rsidR="00A2209E" w:rsidRPr="00A2209E" w:rsidRDefault="00A2209E" w:rsidP="00A2209E">
      <w:pPr>
        <w:rPr>
          <w:b/>
          <w:bCs/>
          <w:sz w:val="28"/>
          <w:szCs w:val="28"/>
        </w:rPr>
      </w:pPr>
      <w:r w:rsidRPr="00A2209E">
        <w:rPr>
          <w:b/>
          <w:bCs/>
          <w:sz w:val="28"/>
          <w:szCs w:val="28"/>
        </w:rPr>
        <w:t>от 11 июня 2021 г. N 24190-ИФ/03</w:t>
      </w:r>
    </w:p>
    <w:p w:rsidR="00A2209E" w:rsidRPr="00A2209E" w:rsidRDefault="00A2209E" w:rsidP="00A2209E">
      <w:pPr>
        <w:rPr>
          <w:sz w:val="28"/>
          <w:szCs w:val="28"/>
        </w:rPr>
      </w:pPr>
      <w:bookmarkStart w:id="8" w:name="100008"/>
      <w:bookmarkEnd w:id="8"/>
      <w:r w:rsidRPr="00A2209E">
        <w:rPr>
          <w:sz w:val="28"/>
          <w:szCs w:val="28"/>
        </w:rPr>
        <w:t>Согласно </w:t>
      </w:r>
      <w:hyperlink r:id="rId6" w:history="1">
        <w:r w:rsidRPr="00A2209E">
          <w:rPr>
            <w:rStyle w:val="a3"/>
            <w:sz w:val="28"/>
            <w:szCs w:val="28"/>
          </w:rPr>
          <w:t>части 6 статьи 15</w:t>
        </w:r>
      </w:hyperlink>
      <w:r w:rsidRPr="00A2209E">
        <w:rPr>
          <w:sz w:val="28"/>
          <w:szCs w:val="28"/>
        </w:rPr>
        <w:t> Федерального закона от 30.12.2009 N 384-ФЗ "Технический регламент о безопасности зданий и сооружений" (далее - Технический регламент)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Технического </w:t>
      </w:r>
      <w:hyperlink r:id="rId7" w:history="1">
        <w:r w:rsidRPr="00A2209E">
          <w:rPr>
            <w:rStyle w:val="a3"/>
            <w:sz w:val="28"/>
            <w:szCs w:val="28"/>
          </w:rPr>
          <w:t>регламента</w:t>
        </w:r>
      </w:hyperlink>
      <w:r w:rsidRPr="00A2209E">
        <w:rPr>
          <w:sz w:val="28"/>
          <w:szCs w:val="28"/>
        </w:rPr>
        <w:t> и ссылками на требования стандартов и сводов правил, включенных в перечни, утвержденные </w:t>
      </w:r>
      <w:hyperlink r:id="rId8" w:anchor="hCf2Nt4Sb7UO" w:history="1">
        <w:r w:rsidRPr="00A2209E">
          <w:rPr>
            <w:rStyle w:val="a3"/>
            <w:sz w:val="28"/>
            <w:szCs w:val="28"/>
          </w:rPr>
          <w:t>постановлением</w:t>
        </w:r>
      </w:hyperlink>
      <w:r w:rsidRPr="00A2209E">
        <w:rPr>
          <w:sz w:val="28"/>
          <w:szCs w:val="28"/>
        </w:rPr>
        <w:t> Правительства Российской Федерации от 04.07.2020 N 985 (далее - обязательный перечень) и </w:t>
      </w:r>
      <w:hyperlink r:id="rId9" w:anchor="0j6fDNzhCwN2" w:history="1">
        <w:r w:rsidRPr="00A2209E">
          <w:rPr>
            <w:rStyle w:val="a3"/>
            <w:sz w:val="28"/>
            <w:szCs w:val="28"/>
          </w:rPr>
          <w:t>приказом</w:t>
        </w:r>
      </w:hyperlink>
      <w:r w:rsidRPr="00A2209E">
        <w:rPr>
          <w:sz w:val="28"/>
          <w:szCs w:val="28"/>
        </w:rPr>
        <w:t xml:space="preserve"> Федерального агентства по техническому регулированию и метрологии от 02.04.2020 N 687 </w:t>
      </w:r>
      <w:r w:rsidRPr="00A2209E">
        <w:rPr>
          <w:sz w:val="28"/>
          <w:szCs w:val="28"/>
        </w:rPr>
        <w:lastRenderedPageBreak/>
        <w:t>(далее - добровольный перечень), или требования специальных технических условий (далее - СТУ).</w:t>
      </w:r>
    </w:p>
    <w:p w:rsidR="00A2209E" w:rsidRPr="00A2209E" w:rsidRDefault="00A2209E" w:rsidP="00A2209E">
      <w:pPr>
        <w:rPr>
          <w:sz w:val="28"/>
          <w:szCs w:val="28"/>
        </w:rPr>
      </w:pPr>
      <w:bookmarkStart w:id="9" w:name="100009"/>
      <w:bookmarkEnd w:id="9"/>
      <w:r w:rsidRPr="00A2209E">
        <w:rPr>
          <w:sz w:val="28"/>
          <w:szCs w:val="28"/>
        </w:rPr>
        <w:t>В соответствии с </w:t>
      </w:r>
      <w:hyperlink r:id="rId10" w:history="1">
        <w:r w:rsidRPr="00A2209E">
          <w:rPr>
            <w:rStyle w:val="a3"/>
            <w:sz w:val="28"/>
            <w:szCs w:val="28"/>
          </w:rPr>
          <w:t>частью 8 статьи 6</w:t>
        </w:r>
      </w:hyperlink>
      <w:r w:rsidRPr="00A2209E">
        <w:rPr>
          <w:sz w:val="28"/>
          <w:szCs w:val="28"/>
        </w:rPr>
        <w:t> Технического регламента, в случае, если для подготовки проектной документации требуется отступление от требований, установленных включенными в указанный в </w:t>
      </w:r>
      <w:hyperlink r:id="rId11" w:history="1">
        <w:r w:rsidRPr="00A2209E">
          <w:rPr>
            <w:rStyle w:val="a3"/>
            <w:sz w:val="28"/>
            <w:szCs w:val="28"/>
          </w:rPr>
          <w:t>части 1 статьи 6</w:t>
        </w:r>
      </w:hyperlink>
      <w:r w:rsidRPr="00A2209E">
        <w:rPr>
          <w:sz w:val="28"/>
          <w:szCs w:val="28"/>
        </w:rPr>
        <w:t> Технического регламента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 СТУ, разрабатываемыми и согласовываемыми в порядке, установленном уполномоченным федеральным органом исполнительной власти.</w:t>
      </w:r>
    </w:p>
    <w:p w:rsidR="00A2209E" w:rsidRPr="00A2209E" w:rsidRDefault="00A2209E" w:rsidP="00A2209E">
      <w:pPr>
        <w:rPr>
          <w:sz w:val="28"/>
          <w:szCs w:val="28"/>
        </w:rPr>
      </w:pPr>
      <w:bookmarkStart w:id="10" w:name="100010"/>
      <w:bookmarkEnd w:id="10"/>
      <w:r w:rsidRPr="00A2209E">
        <w:rPr>
          <w:sz w:val="28"/>
          <w:szCs w:val="28"/>
        </w:rPr>
        <w:t>Таким образом, из приведенных норм следует, что для обоснования соответствия проектных значений параметров и других проектных характеристик здания или сооружения требованиям безопасности достаточно ссылок на требования стандартов и сводов правил из </w:t>
      </w:r>
      <w:hyperlink r:id="rId12" w:anchor="hCf2Nt4Sb7UO" w:history="1">
        <w:r w:rsidRPr="00A2209E">
          <w:rPr>
            <w:rStyle w:val="a3"/>
            <w:sz w:val="28"/>
            <w:szCs w:val="28"/>
          </w:rPr>
          <w:t>обязательного</w:t>
        </w:r>
      </w:hyperlink>
      <w:r w:rsidRPr="00A2209E">
        <w:rPr>
          <w:sz w:val="28"/>
          <w:szCs w:val="28"/>
        </w:rPr>
        <w:t> и </w:t>
      </w:r>
      <w:hyperlink r:id="rId13" w:anchor="0j6fDNzhCwN2" w:history="1">
        <w:r w:rsidRPr="00A2209E">
          <w:rPr>
            <w:rStyle w:val="a3"/>
            <w:sz w:val="28"/>
            <w:szCs w:val="28"/>
          </w:rPr>
          <w:t>добровольного</w:t>
        </w:r>
      </w:hyperlink>
      <w:r w:rsidRPr="00A2209E">
        <w:rPr>
          <w:sz w:val="28"/>
          <w:szCs w:val="28"/>
        </w:rPr>
        <w:t> перечней.</w:t>
      </w:r>
    </w:p>
    <w:p w:rsidR="00A2209E" w:rsidRPr="00A2209E" w:rsidRDefault="00A2209E" w:rsidP="00A2209E">
      <w:pPr>
        <w:rPr>
          <w:sz w:val="28"/>
          <w:szCs w:val="28"/>
        </w:rPr>
      </w:pPr>
      <w:bookmarkStart w:id="11" w:name="100011"/>
      <w:bookmarkEnd w:id="11"/>
      <w:r w:rsidRPr="00A2209E">
        <w:rPr>
          <w:sz w:val="28"/>
          <w:szCs w:val="28"/>
        </w:rPr>
        <w:t>При этом, в случае наличия в проектной документации отступлений от требований стандартов и сводов правил, включенных в перечень добровольного применения, отсутствие СТУ не может являться основанием для вывода о несоответствии проектной документации требованиям Технического </w:t>
      </w:r>
      <w:hyperlink r:id="rId14" w:history="1">
        <w:r w:rsidRPr="00A2209E">
          <w:rPr>
            <w:rStyle w:val="a3"/>
            <w:sz w:val="28"/>
            <w:szCs w:val="28"/>
          </w:rPr>
          <w:t>регламента</w:t>
        </w:r>
      </w:hyperlink>
      <w:r w:rsidRPr="00A2209E">
        <w:rPr>
          <w:sz w:val="28"/>
          <w:szCs w:val="28"/>
        </w:rPr>
        <w:t>.</w:t>
      </w:r>
    </w:p>
    <w:p w:rsidR="00A2209E" w:rsidRPr="00A2209E" w:rsidRDefault="00A2209E" w:rsidP="00A2209E">
      <w:pPr>
        <w:rPr>
          <w:sz w:val="28"/>
          <w:szCs w:val="28"/>
        </w:rPr>
      </w:pPr>
      <w:bookmarkStart w:id="12" w:name="100012"/>
      <w:bookmarkEnd w:id="12"/>
      <w:r w:rsidRPr="00A2209E">
        <w:rPr>
          <w:sz w:val="28"/>
          <w:szCs w:val="28"/>
        </w:rPr>
        <w:t>В случае если проектные значения и характеристики здания или сооружения и (или) проектируемые мероприятия не соответствуют требованиям документов в области стандартизации, включенных в добровольный </w:t>
      </w:r>
      <w:hyperlink r:id="rId15" w:anchor="0j6fDNzhCwN2" w:history="1">
        <w:r w:rsidRPr="00A2209E">
          <w:rPr>
            <w:rStyle w:val="a3"/>
            <w:sz w:val="28"/>
            <w:szCs w:val="28"/>
          </w:rPr>
          <w:t>перечень</w:t>
        </w:r>
      </w:hyperlink>
      <w:r w:rsidRPr="00A2209E">
        <w:rPr>
          <w:sz w:val="28"/>
          <w:szCs w:val="28"/>
        </w:rPr>
        <w:t>, оценка соответствия проектной документации требованиям Технического </w:t>
      </w:r>
      <w:hyperlink r:id="rId16" w:history="1">
        <w:r w:rsidRPr="00A2209E">
          <w:rPr>
            <w:rStyle w:val="a3"/>
            <w:sz w:val="28"/>
            <w:szCs w:val="28"/>
          </w:rPr>
          <w:t>регламента</w:t>
        </w:r>
      </w:hyperlink>
      <w:r w:rsidRPr="00A2209E">
        <w:rPr>
          <w:sz w:val="28"/>
          <w:szCs w:val="28"/>
        </w:rPr>
        <w:t> проводится с учетом представленных заявителем обоснований, выполненных в соответствии с </w:t>
      </w:r>
      <w:hyperlink r:id="rId17" w:history="1">
        <w:r w:rsidRPr="00A2209E">
          <w:rPr>
            <w:rStyle w:val="a3"/>
            <w:sz w:val="28"/>
            <w:szCs w:val="28"/>
          </w:rPr>
          <w:t>пунктами 1</w:t>
        </w:r>
      </w:hyperlink>
      <w:r w:rsidRPr="00A2209E">
        <w:rPr>
          <w:sz w:val="28"/>
          <w:szCs w:val="28"/>
        </w:rPr>
        <w:t> - </w:t>
      </w:r>
      <w:hyperlink r:id="rId18" w:history="1">
        <w:r w:rsidRPr="00A2209E">
          <w:rPr>
            <w:rStyle w:val="a3"/>
            <w:sz w:val="28"/>
            <w:szCs w:val="28"/>
          </w:rPr>
          <w:t>4 части 6 статьи 15</w:t>
        </w:r>
      </w:hyperlink>
      <w:r w:rsidRPr="00A2209E">
        <w:rPr>
          <w:sz w:val="28"/>
          <w:szCs w:val="28"/>
        </w:rPr>
        <w:t> Технического регламента.</w:t>
      </w:r>
    </w:p>
    <w:p w:rsidR="00A2209E" w:rsidRPr="00A2209E" w:rsidRDefault="00A2209E" w:rsidP="00A2209E">
      <w:pPr>
        <w:rPr>
          <w:sz w:val="28"/>
          <w:szCs w:val="28"/>
        </w:rPr>
      </w:pPr>
      <w:bookmarkStart w:id="13" w:name="100013"/>
      <w:bookmarkEnd w:id="13"/>
      <w:r w:rsidRPr="00A2209E">
        <w:rPr>
          <w:sz w:val="28"/>
          <w:szCs w:val="28"/>
        </w:rPr>
        <w:t>Подготовка указанных обоснований соответствия проектных значений и характеристик здания или сооружения требованиям безопасности способами, указанными в </w:t>
      </w:r>
      <w:hyperlink r:id="rId19" w:history="1">
        <w:r w:rsidRPr="00A2209E">
          <w:rPr>
            <w:rStyle w:val="a3"/>
            <w:sz w:val="28"/>
            <w:szCs w:val="28"/>
          </w:rPr>
          <w:t>пунктах 1</w:t>
        </w:r>
      </w:hyperlink>
      <w:r w:rsidRPr="00A2209E">
        <w:rPr>
          <w:sz w:val="28"/>
          <w:szCs w:val="28"/>
        </w:rPr>
        <w:t> - </w:t>
      </w:r>
      <w:hyperlink r:id="rId20" w:history="1">
        <w:r w:rsidRPr="00A2209E">
          <w:rPr>
            <w:rStyle w:val="a3"/>
            <w:sz w:val="28"/>
            <w:szCs w:val="28"/>
          </w:rPr>
          <w:t>4 части 6 статьи 15</w:t>
        </w:r>
      </w:hyperlink>
      <w:r w:rsidRPr="00A2209E">
        <w:rPr>
          <w:sz w:val="28"/>
          <w:szCs w:val="28"/>
        </w:rPr>
        <w:t> Технического регламента, осуществляется на этапе подготовки проектной документации.</w:t>
      </w:r>
    </w:p>
    <w:p w:rsidR="00A2209E" w:rsidRPr="00A2209E" w:rsidRDefault="00A2209E" w:rsidP="00A2209E">
      <w:pPr>
        <w:rPr>
          <w:sz w:val="28"/>
          <w:szCs w:val="28"/>
        </w:rPr>
      </w:pPr>
      <w:bookmarkStart w:id="14" w:name="100014"/>
      <w:bookmarkEnd w:id="14"/>
      <w:r w:rsidRPr="00A2209E">
        <w:rPr>
          <w:sz w:val="28"/>
          <w:szCs w:val="28"/>
        </w:rPr>
        <w:t>Таким образом в случае отступления от требований документов в области стандартизации, включенных в добровольный </w:t>
      </w:r>
      <w:hyperlink r:id="rId21" w:anchor="0j6fDNzhCwN2" w:history="1">
        <w:r w:rsidRPr="00A2209E">
          <w:rPr>
            <w:rStyle w:val="a3"/>
            <w:sz w:val="28"/>
            <w:szCs w:val="28"/>
          </w:rPr>
          <w:t>перечень</w:t>
        </w:r>
      </w:hyperlink>
      <w:r w:rsidRPr="00A2209E">
        <w:rPr>
          <w:sz w:val="28"/>
          <w:szCs w:val="28"/>
        </w:rPr>
        <w:t xml:space="preserve">, основания для </w:t>
      </w:r>
      <w:r w:rsidRPr="00A2209E">
        <w:rPr>
          <w:sz w:val="28"/>
          <w:szCs w:val="28"/>
        </w:rPr>
        <w:lastRenderedPageBreak/>
        <w:t>разработки и согласования СТУ отсутствуют, в том числе если соответствующие требования отсутствуют также в обязательном </w:t>
      </w:r>
      <w:hyperlink r:id="rId22" w:anchor="hCf2Nt4Sb7UO" w:history="1">
        <w:r w:rsidRPr="00A2209E">
          <w:rPr>
            <w:rStyle w:val="a3"/>
            <w:sz w:val="28"/>
            <w:szCs w:val="28"/>
          </w:rPr>
          <w:t>перечне</w:t>
        </w:r>
      </w:hyperlink>
      <w:r w:rsidRPr="00A2209E">
        <w:rPr>
          <w:sz w:val="28"/>
          <w:szCs w:val="28"/>
        </w:rPr>
        <w:t>.</w:t>
      </w:r>
    </w:p>
    <w:p w:rsidR="00A2209E" w:rsidRPr="00A2209E" w:rsidRDefault="00A2209E" w:rsidP="00A2209E">
      <w:pPr>
        <w:rPr>
          <w:sz w:val="28"/>
          <w:szCs w:val="28"/>
        </w:rPr>
      </w:pPr>
      <w:bookmarkStart w:id="15" w:name="100015"/>
      <w:bookmarkEnd w:id="15"/>
      <w:r w:rsidRPr="00A2209E">
        <w:rPr>
          <w:sz w:val="28"/>
          <w:szCs w:val="28"/>
        </w:rPr>
        <w:t>Прошу довести изложенную позицию до филиалов ФАУ "</w:t>
      </w:r>
      <w:proofErr w:type="spellStart"/>
      <w:r w:rsidRPr="00A2209E">
        <w:rPr>
          <w:sz w:val="28"/>
          <w:szCs w:val="28"/>
        </w:rPr>
        <w:t>Главгосэкспертиза</w:t>
      </w:r>
      <w:proofErr w:type="spellEnd"/>
      <w:r w:rsidRPr="00A2209E">
        <w:rPr>
          <w:sz w:val="28"/>
          <w:szCs w:val="28"/>
        </w:rPr>
        <w:t xml:space="preserve"> России", а также организаций, уполномоченных на проведение государственной экспертизы проектной документации и инженерных изысканий в субъектах Российской Федерации.</w:t>
      </w:r>
    </w:p>
    <w:p w:rsidR="00A2209E" w:rsidRPr="00A2209E" w:rsidRDefault="00A2209E">
      <w:pPr>
        <w:rPr>
          <w:sz w:val="28"/>
          <w:szCs w:val="28"/>
        </w:rPr>
      </w:pPr>
    </w:p>
    <w:sectPr w:rsidR="00A2209E" w:rsidRPr="00A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1"/>
    <w:rsid w:val="000C1C31"/>
    <w:rsid w:val="00A2209E"/>
    <w:rsid w:val="00C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3CC9-5EA4-4492-9AE3-DA83A208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pravitelstva-rf-ot-04072020-n-985/" TargetMode="External"/><Relationship Id="rId13" Type="http://schemas.openxmlformats.org/officeDocument/2006/relationships/hyperlink" Target="https://sudact.ru/law/prikaz-rosstandarta-ot-02042020-n-687-ob/" TargetMode="External"/><Relationship Id="rId18" Type="http://schemas.openxmlformats.org/officeDocument/2006/relationships/hyperlink" Target="https://sudact.ru/law/federalnyi-zakon-ot-30122009-n-384-fz-tekhnicheskii/glava-3/statia-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prikaz-rosstandarta-ot-02042020-n-687-ob/" TargetMode="External"/><Relationship Id="rId7" Type="http://schemas.openxmlformats.org/officeDocument/2006/relationships/hyperlink" Target="https://sudact.ru/law/federalnyi-zakon-ot-30122009-n-384-fz-tekhnicheskii/" TargetMode="External"/><Relationship Id="rId12" Type="http://schemas.openxmlformats.org/officeDocument/2006/relationships/hyperlink" Target="https://sudact.ru/law/postanovlenie-pravitelstva-rf-ot-04072020-n-985/" TargetMode="External"/><Relationship Id="rId17" Type="http://schemas.openxmlformats.org/officeDocument/2006/relationships/hyperlink" Target="https://sudact.ru/law/federalnyi-zakon-ot-30122009-n-384-fz-tekhnicheskii/glava-3/statia-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federalnyi-zakon-ot-30122009-n-384-fz-tekhnicheskii/" TargetMode="External"/><Relationship Id="rId20" Type="http://schemas.openxmlformats.org/officeDocument/2006/relationships/hyperlink" Target="https://sudact.ru/law/federalnyi-zakon-ot-30122009-n-384-fz-tekhnicheskii/glava-3/statia-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30122009-n-384-fz-tekhnicheskii/glava-3/statia-15/" TargetMode="External"/><Relationship Id="rId11" Type="http://schemas.openxmlformats.org/officeDocument/2006/relationships/hyperlink" Target="https://sudact.ru/law/federalnyi-zakon-ot-30122009-n-384-fz-tekhnicheskii/glava-1/statia-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dact.ru/law/prikaz-rosstandarta-ot-02042020-n-687-ob/" TargetMode="External"/><Relationship Id="rId15" Type="http://schemas.openxmlformats.org/officeDocument/2006/relationships/hyperlink" Target="https://sudact.ru/law/prikaz-rosstandarta-ot-02042020-n-687-o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dact.ru/law/federalnyi-zakon-ot-30122009-n-384-fz-tekhnicheskii/glava-1/statia-6/" TargetMode="External"/><Relationship Id="rId19" Type="http://schemas.openxmlformats.org/officeDocument/2006/relationships/hyperlink" Target="https://sudact.ru/law/federalnyi-zakon-ot-30122009-n-384-fz-tekhnicheskii/glava-3/statia-15/" TargetMode="External"/><Relationship Id="rId4" Type="http://schemas.openxmlformats.org/officeDocument/2006/relationships/hyperlink" Target="https://sudact.ru/law/pismo-minstroia-rossii-ot-15062021-n-24666-al03/" TargetMode="External"/><Relationship Id="rId9" Type="http://schemas.openxmlformats.org/officeDocument/2006/relationships/hyperlink" Target="https://sudact.ru/law/prikaz-rosstandarta-ot-02042020-n-687-ob/" TargetMode="External"/><Relationship Id="rId14" Type="http://schemas.openxmlformats.org/officeDocument/2006/relationships/hyperlink" Target="https://sudact.ru/law/federalnyi-zakon-ot-30122009-n-384-fz-tekhnicheskii/" TargetMode="External"/><Relationship Id="rId22" Type="http://schemas.openxmlformats.org/officeDocument/2006/relationships/hyperlink" Target="https://sudact.ru/law/postanovlenie-pravitelstva-rf-ot-04072020-n-9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2021-07-14T06:15:00Z</dcterms:created>
  <dcterms:modified xsi:type="dcterms:W3CDTF">2021-07-14T06:15:00Z</dcterms:modified>
</cp:coreProperties>
</file>